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0455" w14:textId="77777777" w:rsidR="00597CB8" w:rsidRPr="00597CB8" w:rsidRDefault="00597CB8" w:rsidP="00597CB8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2D2D2D"/>
          <w:kern w:val="36"/>
          <w:sz w:val="36"/>
          <w:szCs w:val="36"/>
          <w:lang w:eastAsia="ru-RU"/>
        </w:rPr>
      </w:pPr>
      <w:r w:rsidRPr="00597CB8">
        <w:rPr>
          <w:rFonts w:ascii="inherit" w:eastAsia="Times New Roman" w:hAnsi="inherit" w:cs="Arial"/>
          <w:b/>
          <w:bCs/>
          <w:color w:val="2D2D2D"/>
          <w:kern w:val="36"/>
          <w:sz w:val="36"/>
          <w:szCs w:val="36"/>
          <w:lang w:eastAsia="ru-RU"/>
        </w:rPr>
        <w:t>Инструкция по медицинскому применению лекарственного препарата Миотокс®</w:t>
      </w:r>
    </w:p>
    <w:p w14:paraId="2B4BF5E6" w14:textId="77777777" w:rsidR="00597CB8" w:rsidRDefault="00597CB8" w:rsidP="00597CB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D2D2D"/>
          <w:sz w:val="24"/>
          <w:szCs w:val="24"/>
          <w:lang w:eastAsia="ru-RU"/>
        </w:rPr>
      </w:pPr>
    </w:p>
    <w:p w14:paraId="061DB414" w14:textId="733AA154" w:rsidR="00597CB8" w:rsidRPr="00597CB8" w:rsidRDefault="00597CB8" w:rsidP="00597CB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Ботулинический токсин типа А - гемагглютинин комплекс</w:t>
      </w:r>
    </w:p>
    <w:p w14:paraId="3C920F40" w14:textId="77777777" w:rsidR="00597CB8" w:rsidRPr="00597CB8" w:rsidRDefault="00597CB8" w:rsidP="00597CB8">
      <w:pPr>
        <w:shd w:val="clear" w:color="auto" w:fill="FFFFFF"/>
        <w:spacing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Регистрационный номер:</w:t>
      </w:r>
      <w:r w:rsidRPr="00597CB8">
        <w:rPr>
          <w:rFonts w:ascii="Arial" w:eastAsia="Times New Roman" w:hAnsi="Arial" w:cs="Arial"/>
          <w:color w:val="2D2D2D"/>
          <w:lang w:eastAsia="ru-RU"/>
        </w:rPr>
        <w:t> ЛП-005821. 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Торговое наименование: </w:t>
      </w:r>
      <w:r w:rsidRPr="00597CB8">
        <w:rPr>
          <w:rFonts w:ascii="Arial" w:eastAsia="Times New Roman" w:hAnsi="Arial" w:cs="Arial"/>
          <w:color w:val="2D2D2D"/>
          <w:lang w:eastAsia="ru-RU"/>
        </w:rPr>
        <w:t>Миотокс®.</w:t>
      </w: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br/>
        <w:t>Международное непатентованное или группировочное наименование:</w:t>
      </w:r>
      <w:r w:rsidRPr="00597CB8">
        <w:rPr>
          <w:rFonts w:ascii="Arial" w:eastAsia="Times New Roman" w:hAnsi="Arial" w:cs="Arial"/>
          <w:color w:val="2D2D2D"/>
          <w:lang w:eastAsia="ru-RU"/>
        </w:rPr>
        <w:t> Ботулинический токсин типа А – гемагглютинин комплекс.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Лекарственная форма</w:t>
      </w:r>
      <w:r w:rsidRPr="00597CB8">
        <w:rPr>
          <w:rFonts w:ascii="Arial" w:eastAsia="Times New Roman" w:hAnsi="Arial" w:cs="Arial"/>
          <w:color w:val="2D2D2D"/>
          <w:lang w:eastAsia="ru-RU"/>
        </w:rPr>
        <w:t>: раствор для внутримышечного введения.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Состав на 1 флакон:</w:t>
      </w: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1"/>
        <w:gridCol w:w="1301"/>
      </w:tblGrid>
      <w:tr w:rsidR="00597CB8" w:rsidRPr="00597CB8" w14:paraId="343DE448" w14:textId="77777777" w:rsidTr="00597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FEC9F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597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компонента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56D45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Количество</w:t>
            </w: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7CB8" w:rsidRPr="00597CB8" w14:paraId="7445B481" w14:textId="77777777" w:rsidTr="00597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B6D6E" w14:textId="77777777" w:rsidR="00597CB8" w:rsidRPr="00597CB8" w:rsidRDefault="00597CB8" w:rsidP="00597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    </w:t>
            </w:r>
            <w:r w:rsidRPr="00597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Действующее вещество: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1F58B" w14:textId="77777777" w:rsidR="00597CB8" w:rsidRPr="00597CB8" w:rsidRDefault="00597CB8" w:rsidP="00597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7CB8" w:rsidRPr="00597CB8" w14:paraId="7BFB5623" w14:textId="77777777" w:rsidTr="00597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A9EFE" w14:textId="77777777" w:rsidR="00597CB8" w:rsidRPr="00597CB8" w:rsidRDefault="00597CB8" w:rsidP="00597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    Ботулинический токсин типа А – гемагглютинин комплекс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23FED" w14:textId="77777777" w:rsidR="00597CB8" w:rsidRPr="00597CB8" w:rsidRDefault="00597CB8" w:rsidP="00597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    100 ЕД</w:t>
            </w:r>
          </w:p>
        </w:tc>
      </w:tr>
      <w:tr w:rsidR="00597CB8" w:rsidRPr="00597CB8" w14:paraId="7800899D" w14:textId="77777777" w:rsidTr="00597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48442" w14:textId="77777777" w:rsidR="00597CB8" w:rsidRPr="00597CB8" w:rsidRDefault="00597CB8" w:rsidP="00597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Pr="00597C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Вспомогательные вещества: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2C872" w14:textId="77777777" w:rsidR="00597CB8" w:rsidRPr="00597CB8" w:rsidRDefault="00597CB8" w:rsidP="00597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97CB8" w:rsidRPr="00597CB8" w14:paraId="02ACF2F8" w14:textId="77777777" w:rsidTr="00597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C41D3" w14:textId="77777777" w:rsidR="00597CB8" w:rsidRPr="00597CB8" w:rsidRDefault="00597CB8" w:rsidP="00597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    Альбумин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603CF" w14:textId="77777777" w:rsidR="00597CB8" w:rsidRPr="00597CB8" w:rsidRDefault="00597CB8" w:rsidP="00597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    0,5 мг</w:t>
            </w:r>
          </w:p>
        </w:tc>
      </w:tr>
      <w:tr w:rsidR="00597CB8" w:rsidRPr="00597CB8" w14:paraId="3ECB187C" w14:textId="77777777" w:rsidTr="00597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1D49B" w14:textId="77777777" w:rsidR="00597CB8" w:rsidRPr="00597CB8" w:rsidRDefault="00597CB8" w:rsidP="00597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    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62736" w14:textId="77777777" w:rsidR="00597CB8" w:rsidRPr="00597CB8" w:rsidRDefault="00597CB8" w:rsidP="00597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    9,0 мг</w:t>
            </w:r>
          </w:p>
        </w:tc>
      </w:tr>
      <w:tr w:rsidR="00597CB8" w:rsidRPr="00597CB8" w14:paraId="00029725" w14:textId="77777777" w:rsidTr="00597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72D09" w14:textId="77777777" w:rsidR="00597CB8" w:rsidRPr="00597CB8" w:rsidRDefault="00597CB8" w:rsidP="00597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    Вода для инъекций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75988" w14:textId="77777777" w:rsidR="00597CB8" w:rsidRPr="00597CB8" w:rsidRDefault="00597CB8" w:rsidP="00597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    до 1 мл</w:t>
            </w:r>
          </w:p>
        </w:tc>
      </w:tr>
    </w:tbl>
    <w:p w14:paraId="7E6D06A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</w:p>
    <w:p w14:paraId="37A55F4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Описание:</w:t>
      </w:r>
      <w:r w:rsidRPr="00597CB8">
        <w:rPr>
          <w:rFonts w:ascii="Arial" w:eastAsia="Times New Roman" w:hAnsi="Arial" w:cs="Arial"/>
          <w:color w:val="2D2D2D"/>
          <w:lang w:eastAsia="ru-RU"/>
        </w:rPr>
        <w:t> Прозрачная или слабо опалесцирующая жидкость от бесцветного до светло-желтого цвета.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Фармакотерапевтическая группа:</w:t>
      </w:r>
      <w:r w:rsidRPr="00597CB8">
        <w:rPr>
          <w:rFonts w:ascii="Arial" w:eastAsia="Times New Roman" w:hAnsi="Arial" w:cs="Arial"/>
          <w:color w:val="2D2D2D"/>
          <w:lang w:eastAsia="ru-RU"/>
        </w:rPr>
        <w:t> Миорелаксант периферического действия.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Код АТХ:</w:t>
      </w:r>
      <w:r w:rsidRPr="00597CB8">
        <w:rPr>
          <w:rFonts w:ascii="Arial" w:eastAsia="Times New Roman" w:hAnsi="Arial" w:cs="Arial"/>
          <w:color w:val="2D2D2D"/>
          <w:lang w:eastAsia="ru-RU"/>
        </w:rPr>
        <w:t> М03АХ01.</w:t>
      </w:r>
    </w:p>
    <w:p w14:paraId="5E45255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Фармакологические свойства</w:t>
      </w:r>
    </w:p>
    <w:p w14:paraId="1DB6992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Фармакодинамика</w:t>
      </w:r>
    </w:p>
    <w:p w14:paraId="011E5480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Молекула ботулинического токсина типа А состоит из двух цепей: тяжелой (с молекулярной массой 100 000 Да) и легкой (с молекулярной массой 50 000 Да), соединенных дисульфидной связью.</w:t>
      </w:r>
    </w:p>
    <w:p w14:paraId="039C5220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Тяжелая цепь обладает высоким сродством к специфическим рецепторам, локализованным на поверхности нейронов-мишеней. Легкая цепь характеризуется Zn2+ - зависимой протеазной активностью. Она специфична в отношении цитоплазматических участков синаптосомально связанного протеина с молекулярной массой 25 000 Да (SNAP-25), принимающего участие в процессах экзоцитоза.</w:t>
      </w:r>
    </w:p>
    <w:p w14:paraId="1F073BC4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Первая стадия</w:t>
      </w:r>
      <w:r w:rsidRPr="00597CB8">
        <w:rPr>
          <w:rFonts w:ascii="Arial" w:eastAsia="Times New Roman" w:hAnsi="Arial" w:cs="Arial"/>
          <w:color w:val="2D2D2D"/>
          <w:lang w:eastAsia="ru-RU"/>
        </w:rPr>
        <w:t> действия ботулинического токсина типа А заключается в специфическом связывании молекулы с пресинаптической мембраной.</w:t>
      </w:r>
    </w:p>
    <w:p w14:paraId="738C9EA2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Вторая стадия</w:t>
      </w:r>
      <w:r w:rsidRPr="00597CB8">
        <w:rPr>
          <w:rFonts w:ascii="Arial" w:eastAsia="Times New Roman" w:hAnsi="Arial" w:cs="Arial"/>
          <w:color w:val="2D2D2D"/>
          <w:lang w:eastAsia="ru-RU"/>
        </w:rPr>
        <w:t> – проникновение связанного токсина в цитоплазму нейронов путем эндоцитоза. Внутри клетки легкая цепь проявляет Zn2+ -зависимую протеазную активность, избирательно разрушая белок SNAP-25, что на </w:t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третьей стадии</w:t>
      </w:r>
      <w:r w:rsidRPr="00597CB8">
        <w:rPr>
          <w:rFonts w:ascii="Arial" w:eastAsia="Times New Roman" w:hAnsi="Arial" w:cs="Arial"/>
          <w:color w:val="2D2D2D"/>
          <w:lang w:eastAsia="ru-RU"/>
        </w:rPr>
        <w:t> приводит к блокаде высвобождения ацетилхолина из пресинаптических окончаний холинергических нейронов.</w:t>
      </w:r>
    </w:p>
    <w:p w14:paraId="74AE91E4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Конечным результатом</w:t>
      </w:r>
      <w:r w:rsidRPr="00597CB8">
        <w:rPr>
          <w:rFonts w:ascii="Arial" w:eastAsia="Times New Roman" w:hAnsi="Arial" w:cs="Arial"/>
          <w:color w:val="2D2D2D"/>
          <w:lang w:eastAsia="ru-RU"/>
        </w:rPr>
        <w:t> является продолжительная хемоденервация.</w:t>
      </w:r>
    </w:p>
    <w:p w14:paraId="681FC2C0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lastRenderedPageBreak/>
        <w:t>При внутримышечной инъекции ботулинического токсина типа А развиваются 2 эффекта: прямое ингибирование экстрафузальных мышечных волокон посредством ингибирования альфа-мотонейронов на уровне нервно-мышечного синапса и ингибирование активности мышечных веретен посредством ингибирования гамма-мотонейронного холинергического синапса на интрафузальном волокне. Снижение гамма-активности ведет к расслаблению интрафузальных волокон мышечного веретена и уменьшает активность 1а-афферентов. Это приводит к снижению активности как мышечных рецепторов растяжения, так и эфферентной активности альфа- и гамма-мотонейронов. Клинически это проявляется в выраженном расслаблении инъецированных мышц и в значительном уменьшении боли в них. Наряду с процессом денервации в этих мышцах, идет процесс реиннервации путем появления боковых отростков нервных окончаний, что приводит к частичному восстановлению мышечных сокращений через 4-6 месяцев после инъекции.</w:t>
      </w:r>
    </w:p>
    <w:p w14:paraId="257F2162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Клинически отмечается выраженное расслабление мышц, в которые была произведена инъекция. В денервированных мышцах происходит процесс реиннервации за счет формирования латеральных отростков нервных окончаний через 12 недель после инъекции, что приводит к восстановлению мышечных сокращений. Однако, отростки эффективны частично и впоследствии регрессируют, в то время как первичная нейромышечная передача активируется.</w:t>
      </w:r>
    </w:p>
    <w:p w14:paraId="19307A15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Фармакокинетика</w:t>
      </w:r>
    </w:p>
    <w:p w14:paraId="73C8240F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Фармакологический эффект препарата развивается в месте инъекции. Доказано, что пресинаптический захват и ретроградный аксональный транспорт препарата из места введения незначителен.</w:t>
      </w:r>
    </w:p>
    <w:p w14:paraId="601C48A3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В терапевтических дозах препарат не проникает через гематоэнцефалический барьер и не вызывает существенных системных эффектов. Выводится почками в виде нетоксичных метаболитов.</w:t>
      </w:r>
    </w:p>
    <w:p w14:paraId="381B725A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Антитела к ботулиническому токсину типа А могут формироваться после повторных инъекций в 1-5 % случаев. Продукции антител способствует введение больших доз препарата, а также повторное введение в малых дозах через короткие промежутки времени (менее 14 дней). При формировании антител к ботулиническому токсину типа А эффект от его дальнейшего применения может быть сниженным.</w:t>
      </w:r>
    </w:p>
    <w:p w14:paraId="0FFEB812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Показания к применению</w:t>
      </w:r>
    </w:p>
    <w:p w14:paraId="39E8480E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Препарат Миотокс® применяют у пациентов при следующих заболеваниях:</w:t>
      </w:r>
    </w:p>
    <w:p w14:paraId="1F211FCC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– Блефароспазм;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Цервикальная дистония (спастическая кривошея);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Временная коррекция внешнего вида мимических морщин верхней трети лица (межбровных, лобных морщин и периорбитальных морщин) у взрослых.</w:t>
      </w:r>
    </w:p>
    <w:p w14:paraId="54CD9F5D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Противопоказания</w:t>
      </w:r>
    </w:p>
    <w:p w14:paraId="6F678CD9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Общие:</w:t>
      </w:r>
    </w:p>
    <w:p w14:paraId="7293476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– Гиперчувствительность в анамнезе к любому компоненту препарата;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Воспалительный процесс в месте предполагаемой инъекции (инъекций);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Острая фаза инфекционных заболеваний;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Беременность и период грудного вскармливания;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Детский возраст до 18 лет.</w:t>
      </w:r>
    </w:p>
    <w:p w14:paraId="17275440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lastRenderedPageBreak/>
        <w:t>Дополнительные противопоказания при применении при блефароспазме и коррекции морщин верхней трети лица:</w:t>
      </w:r>
    </w:p>
    <w:p w14:paraId="5AD7CB47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– Выраженный гравитационный птоз тканей лица;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Выраженные «грыжи» в области верхних и нижних век.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Период менее 3 месяцев после перенесенной хирургической операции на лице.</w:t>
      </w:r>
    </w:p>
    <w:p w14:paraId="239E4D31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Дополнительные противопоказания при коррекции морщин верхней трети лица:</w:t>
      </w:r>
    </w:p>
    <w:p w14:paraId="0B0427F2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– Миастения гравис или синдром Ламберта-Итона.</w:t>
      </w:r>
    </w:p>
    <w:p w14:paraId="397D2BE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С осторожностью</w:t>
      </w:r>
    </w:p>
    <w:p w14:paraId="120A3794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Препарат применяют с осторожностью:</w:t>
      </w:r>
    </w:p>
    <w:p w14:paraId="2D02E981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– У пожилых пациентов с отягощенным анамнезом и сопутствующей лекарственной терапией;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У пациентов, имеющих дисфагию и аспирацию в анамнезе;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У пациентов с патологическими изменениями роговицы (при проведении инъекции в области лица);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У пациентов с экхимозами в месте введения препарата;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У пациентов с нарушениями свертываемости крови и в случае сопутствующей терапии антикоагулянтами;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В случае выраженной слабости или атрофии в мышце, в которую планируется вводить препарат;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У пациентов с периферической моторной нейропатией (например, при амиотрофическом боковом склерозе или моторной нейропатии);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У пациентов с субклиническими или клиническими признаками нарушения нервно-мышечной передачи (например, при миастении гравис или синдроме Ламберта-Итона);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У больных, имеющих высокий риск развития закрытоугольной глаукомы, включая анатомическое сужение угла передней камеры глаза.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У пациентов с повышенной чувствительностью к препаратам, содержащим белки, следует учитывать риск развития аллергической реакции и до проведения процедуры оценивать возможную пользу от лечения.</w:t>
      </w:r>
    </w:p>
    <w:p w14:paraId="63C4D14E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Применение при беременности и в период грудного вскармливания</w:t>
      </w:r>
    </w:p>
    <w:p w14:paraId="109E7634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Применение препарата Миотокс® при беременности и в период грудного вскармливания противопоказано.</w:t>
      </w:r>
    </w:p>
    <w:p w14:paraId="2A296CB4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Способ применения и дозы</w:t>
      </w:r>
    </w:p>
    <w:p w14:paraId="123BF7A1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Для внутримышечного введения.</w:t>
      </w:r>
    </w:p>
    <w:p w14:paraId="2197A4D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Введение препарата должно осуществляться только врачами соответствующей квалификации, которые получили специальную подготовку для проведения данного вида лечения и с использованием необходимого оборудования. Допускается проведение инъекций амбулаторно в условиях процедурного кабинета.</w:t>
      </w:r>
    </w:p>
    <w:p w14:paraId="519BC5A3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В начале терапии необходимо использовать минимальные рекомендуемые дозы. При последующих курсах инъекций эта доза может быть постепенно увеличена до максимально рекомендованной дозы, если это необходимо.</w:t>
      </w:r>
    </w:p>
    <w:p w14:paraId="5FF9EFE1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 xml:space="preserve">Универсальные оптимальные дозы и количество внутримышечных инъекций не определены для всех показаний. В таких случаях индивидуальный режим лечения для </w:t>
      </w:r>
      <w:r w:rsidRPr="00597CB8">
        <w:rPr>
          <w:rFonts w:ascii="Arial" w:eastAsia="Times New Roman" w:hAnsi="Arial" w:cs="Arial"/>
          <w:color w:val="2D2D2D"/>
          <w:lang w:eastAsia="ru-RU"/>
        </w:rPr>
        <w:lastRenderedPageBreak/>
        <w:t>конкретного пациента должен быть определен врачом в соответствии с выраженностью и локализацией мышечной гиперактивности. Оптимальные дозы должны подбираться с помощью титрации, но рекомендуемая максимальная доза препарата не должна быть превышена. В некоторых случаях для более точного установления локализации патологического процесса используется электромиография.</w:t>
      </w:r>
    </w:p>
    <w:p w14:paraId="127479A3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Приготовление и хранение разведенного препарата</w:t>
      </w:r>
    </w:p>
    <w:p w14:paraId="196B0F19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Приготовление разведенного раствора и его набор в шприц следует проводить на рабочей поверхности, покрытой бумажным полотенцем в полиэтиленовой подкладке, что дает возможность быстро удалить пролитый препарат.</w:t>
      </w:r>
    </w:p>
    <w:p w14:paraId="3B2F045B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Флакон препарата содержит 100 ЕД в 1,0 мл раствора. При необходимости, перед применением, для достижения желаемой концентрации, раствор препарата можно дополнительно развести 1 – 7 мл 0,9 % раствором натрия хлорида для инъекций. Флакон с препаратом помещают на рабочую поверхность и обрабатывают часть резиновой пробки этиловым спиртом. Пробку прокалывают стерильной иглой размером 23-25 G и вводят необходимое количество растворителя во флакон. Запрещается открывать флакон и удалять пробку. После вскрытия (прокалывания пробки флакона) препарат может храниться в оригинальном флаконе при температуре от 2 до 8 °C не более 72 часов. После разведения препарат может быть использован в течение 24 часов при условии правильного хранения.</w:t>
      </w:r>
    </w:p>
    <w:p w14:paraId="15C6DB79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Неиспользованный препарат должен быть утилизирован в соответствии с действующими правилами уничтожения биологических отходов.</w:t>
      </w:r>
    </w:p>
    <w:p w14:paraId="08DE5E3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Препарат вводят инсулиновым или туберкулиновым шприцем. При введении препарата в мышцы лица положение пациента сидя, затылок зафиксирован.</w:t>
      </w:r>
    </w:p>
    <w:p w14:paraId="55D132BB" w14:textId="77777777" w:rsidR="00597CB8" w:rsidRPr="00597CB8" w:rsidRDefault="00597CB8" w:rsidP="00597CB8">
      <w:pPr>
        <w:shd w:val="clear" w:color="auto" w:fill="FFFFFF"/>
        <w:spacing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Концентрации, получаемые при разведении препарата:</w:t>
      </w:r>
    </w:p>
    <w:tbl>
      <w:tblPr>
        <w:tblW w:w="100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318"/>
        <w:gridCol w:w="2784"/>
        <w:gridCol w:w="2978"/>
      </w:tblGrid>
      <w:tr w:rsidR="00597CB8" w:rsidRPr="00597CB8" w14:paraId="5E4AC288" w14:textId="77777777" w:rsidTr="00597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4061A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Объем 0,9 % раствора натрия хлорида для инъекций, добавленного во флакон (мл)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AE8F1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Полученный объем препарата во флаконе (мл)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722B1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Полученная доза (ЕД на 0,1 мл) без добавления NaCl</w:t>
            </w:r>
          </w:p>
        </w:tc>
      </w:tr>
      <w:tr w:rsidR="00597CB8" w:rsidRPr="00597CB8" w14:paraId="491BDB49" w14:textId="77777777" w:rsidTr="00597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5BA43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без добавления NaCl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79AE4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E1517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97CB8" w:rsidRPr="00597CB8" w14:paraId="4BA70154" w14:textId="77777777" w:rsidTr="00597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867BF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0D743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F0D1D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97CB8" w:rsidRPr="00597CB8" w14:paraId="3E649730" w14:textId="77777777" w:rsidTr="00597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ACDA7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1,5 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06D37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2,5 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A9FE2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97CB8" w:rsidRPr="00597CB8" w14:paraId="2F50CE90" w14:textId="77777777" w:rsidTr="00597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8F078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DF1E0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506C1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597CB8" w:rsidRPr="00597CB8" w14:paraId="408ED7C6" w14:textId="77777777" w:rsidTr="00597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149D9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AD404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44A30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97CB8" w:rsidRPr="00597CB8" w14:paraId="5C8A23C2" w14:textId="77777777" w:rsidTr="00597C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89395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28E00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E6BCA" w14:textId="77777777" w:rsidR="00597CB8" w:rsidRPr="00597CB8" w:rsidRDefault="00597CB8" w:rsidP="0059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CB8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</w:tr>
    </w:tbl>
    <w:p w14:paraId="3A8AC196" w14:textId="77777777" w:rsidR="00597CB8" w:rsidRPr="00597CB8" w:rsidRDefault="00597CB8" w:rsidP="00597C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b/>
          <w:bCs/>
          <w:color w:val="2D2D2D"/>
          <w:u w:val="single"/>
          <w:lang w:eastAsia="ru-RU"/>
        </w:rPr>
        <w:t>Дозы, схемы и способы введения препарата при блефароспазме</w:t>
      </w:r>
    </w:p>
    <w:p w14:paraId="783177D9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Препарат Миотокс® следует вводить внутримышечно в дозе 1,25-2,5 ЕД в каждую точку введения. При лечении двустороннего блефароспазма препарат вводить поверхностно внутримышечно шприцом с иглой калибром 28-30 G в следующие точки: две точки на верхнем веке, 1 точка на латеральной половине нижнего века и 1 точка у латерального угла глаза. Суммарная начальная доза не должна превышать 25 ЕД с каждой стороны.</w:t>
      </w:r>
    </w:p>
    <w:p w14:paraId="1CCFB04D" w14:textId="77777777" w:rsidR="00597CB8" w:rsidRPr="00597CB8" w:rsidRDefault="00597CB8" w:rsidP="00597CB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noProof/>
          <w:color w:val="2D2D2D"/>
          <w:lang w:eastAsia="ru-RU"/>
        </w:rPr>
        <w:lastRenderedPageBreak/>
        <w:drawing>
          <wp:inline distT="0" distB="0" distL="0" distR="0" wp14:anchorId="73BF0D50" wp14:editId="036EA5C9">
            <wp:extent cx="1653540" cy="2255520"/>
            <wp:effectExtent l="0" t="0" r="3810" b="0"/>
            <wp:docPr id="1" name="Рисунок 1" descr="Дозы, схемы и способы введения препарата при блефароспаз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зы, схемы и способы введения препарата при блефароспазм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B462C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Рис. 1. Точки введения препарата Миотокс® при блефароспазме</w:t>
      </w:r>
    </w:p>
    <w:p w14:paraId="53AFFBC5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Для профилактики возникновения птоза, как осложнения процедуры, необходимо избегать введения препарата вблизи мышцы, поднимающей верхнее веко. Для профилактики диплопии, как осложнения процедуры, необходимо избегать введения препарата в медиальную часть нижнего века.</w:t>
      </w:r>
    </w:p>
    <w:p w14:paraId="215AA316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u w:val="single"/>
          <w:lang w:eastAsia="ru-RU"/>
        </w:rPr>
        <w:t>Дозы, схемы и способы введения препарата при цервикальной дистонии (спастической кривошее)</w:t>
      </w:r>
    </w:p>
    <w:p w14:paraId="2D2F59C3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Раствор препарата вводят иглой размером 25-30 G. В клинических исследованиях, проводившихся с целью установления безопасности и эффективности препарата при цервикальной дистонии, суммарная доза разведенного препарата составила 200 ЕД.</w:t>
      </w:r>
    </w:p>
    <w:p w14:paraId="0C934E5B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Как и при любом медикаментозном лечении, для пациентов, не получавших ранее терапии ботулиническим токсином, в качестве начальной дозы используется минимальная эффективная доза. Суммарная доза 200 ЕД распределяется между спастичными мышцами шеи: </w:t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m. splenis capitis, m. trapesius, m. sternocleidomasoideus, m. scalenus и m. levator scapulae</w:t>
      </w:r>
      <w:r w:rsidRPr="00597CB8">
        <w:rPr>
          <w:rFonts w:ascii="Arial" w:eastAsia="Times New Roman" w:hAnsi="Arial" w:cs="Arial"/>
          <w:color w:val="2D2D2D"/>
          <w:lang w:eastAsia="ru-RU"/>
        </w:rPr>
        <w:t>. Инъецируемые мышцы выбираются врачом в зависимости от типа дистонии (антеро-, ретро-, латеро- или торти-коллис) индивидуально для каждого пациента.</w:t>
      </w:r>
    </w:p>
    <w:p w14:paraId="0A31BB99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При сложных формах кривошеи или слабом эффекте от лечения следует провести ЭМГ мышц шеи для более точного установления локализации напряженных мышц.</w:t>
      </w:r>
    </w:p>
    <w:p w14:paraId="30F69B73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u w:val="single"/>
          <w:lang w:eastAsia="ru-RU"/>
        </w:rPr>
        <w:t>Дозы, схемы и способы введения препарата при коррекции мимических морщин:</w:t>
      </w:r>
    </w:p>
    <w:p w14:paraId="7FB64D76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Оптимальные дозы и число точек инъекций в одну мышцу могут отличаться у разных пациентов, поэтому необходимо выбирать индивидуальный режим дозирования.</w:t>
      </w:r>
    </w:p>
    <w:p w14:paraId="0FC69B09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Согласно данным клинических исследований, суммарная доза препарата составляет 30-50 ЕД в зависимости от глубины морщин.</w:t>
      </w:r>
    </w:p>
    <w:p w14:paraId="513662CA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Сглаживание межбровных морщин</w:t>
      </w:r>
    </w:p>
    <w:p w14:paraId="2E78B3E7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В процессе формирования межбровных морщин участвуют m. corrugator supercilii (мышца, сморщивающая бровь) и </w:t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m. procerus</w:t>
      </w:r>
      <w:r w:rsidRPr="00597CB8">
        <w:rPr>
          <w:rFonts w:ascii="Arial" w:eastAsia="Times New Roman" w:hAnsi="Arial" w:cs="Arial"/>
          <w:color w:val="2D2D2D"/>
          <w:lang w:eastAsia="ru-RU"/>
        </w:rPr>
        <w:t> (мышца гордецов).</w:t>
      </w:r>
    </w:p>
    <w:p w14:paraId="679A7A8F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Для определения места инъекций пациента просят нахмуриться, в этот момент хорошо пальпируются </w:t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m. corrugator supercilli</w:t>
      </w:r>
      <w:r w:rsidRPr="00597CB8">
        <w:rPr>
          <w:rFonts w:ascii="Arial" w:eastAsia="Times New Roman" w:hAnsi="Arial" w:cs="Arial"/>
          <w:color w:val="2D2D2D"/>
          <w:lang w:eastAsia="ru-RU"/>
        </w:rPr>
        <w:t xml:space="preserve">, при этом отмечают точку наиболее выраженной </w:t>
      </w:r>
      <w:r w:rsidRPr="00597CB8">
        <w:rPr>
          <w:rFonts w:ascii="Arial" w:eastAsia="Times New Roman" w:hAnsi="Arial" w:cs="Arial"/>
          <w:color w:val="2D2D2D"/>
          <w:lang w:eastAsia="ru-RU"/>
        </w:rPr>
        <w:lastRenderedPageBreak/>
        <w:t>мышечной активности, которая должна находиться на 0,5 см выше верхнего медиального края брови. Аналогичным образом производят разметку на другой стороне. Отмечают точку введения препарата в </w:t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m. рrocerus</w:t>
      </w:r>
      <w:r w:rsidRPr="00597CB8">
        <w:rPr>
          <w:rFonts w:ascii="Arial" w:eastAsia="Times New Roman" w:hAnsi="Arial" w:cs="Arial"/>
          <w:color w:val="2D2D2D"/>
          <w:lang w:eastAsia="ru-RU"/>
        </w:rPr>
        <w:t>, которая располагается в середине линии, соединяющей медиальные края бровей.</w:t>
      </w:r>
    </w:p>
    <w:p w14:paraId="2C5CB164" w14:textId="77777777" w:rsidR="00597CB8" w:rsidRPr="00597CB8" w:rsidRDefault="00597CB8" w:rsidP="00597CB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noProof/>
          <w:color w:val="2D2D2D"/>
          <w:lang w:eastAsia="ru-RU"/>
        </w:rPr>
        <w:drawing>
          <wp:inline distT="0" distB="0" distL="0" distR="0" wp14:anchorId="46DABCE7" wp14:editId="508DBC30">
            <wp:extent cx="1676400" cy="2263140"/>
            <wp:effectExtent l="0" t="0" r="0" b="3810"/>
            <wp:docPr id="2" name="Рисунок 2" descr="Рис. 2. Точки введения препарата Миотокс® для разглаживания морщин в межбровн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Точки введения препарата Миотокс® для разглаживания морщин в межбровн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E2350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Рис. 2. Точки введения препарата Миотокс® для разглаживания морщин в межбровной области</w:t>
      </w:r>
    </w:p>
    <w:p w14:paraId="686DBA0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Игла вводится в толщу брюшка, направление иглы – либо под углом 45° спереди назад, медиально, либо под углом 90°. Глубина введения иглы – 7-10 мм. Если игла упрется в надкостницу, ее надо вытянуть из тканей на 1 мм и после этого ввести препарат.</w:t>
      </w:r>
    </w:p>
    <w:p w14:paraId="5486BC6A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В каждую отмеченную точку вводят от 4 до 6 ЕД препарата или вводят по 4-4,5 ЕД препарата в обозначенные три точки и по 3 ЕД в две дополнительные латеральные точки </w:t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m. corrugator supercilii</w:t>
      </w:r>
      <w:r w:rsidRPr="00597CB8">
        <w:rPr>
          <w:rFonts w:ascii="Arial" w:eastAsia="Times New Roman" w:hAnsi="Arial" w:cs="Arial"/>
          <w:color w:val="2D2D2D"/>
          <w:lang w:eastAsia="ru-RU"/>
        </w:rPr>
        <w:t>, которые располагаются на 5-7 мм выше и латеральнее первичных. Суммарная доза веденного при коррекции морщин межбровья препарата составляет 15-20 ЕД.</w:t>
      </w:r>
    </w:p>
    <w:p w14:paraId="4FF723D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Для снижения риска развития птоза необходимо избегать введения препарата вблизи мышцы, поднимающей верхнее веко, особенно у пациентов с хорошо выраженной мышцей, опускающей бровь. При введении препарата в мышцу, сморщивающую бровь, инъекции необходимо производить в центральную часть мышцы, отступив не менее чем на 1 см выше дуги брови.</w:t>
      </w:r>
    </w:p>
    <w:p w14:paraId="5727008A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Сглаживание горизонтальных морщин в области лба</w:t>
      </w:r>
    </w:p>
    <w:p w14:paraId="0E4C9DA1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В образовании горизонтальных морщин в области лба участвует </w:t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m. epicranius</w:t>
      </w:r>
      <w:r w:rsidRPr="00597CB8">
        <w:rPr>
          <w:rFonts w:ascii="Arial" w:eastAsia="Times New Roman" w:hAnsi="Arial" w:cs="Arial"/>
          <w:color w:val="2D2D2D"/>
          <w:lang w:eastAsia="ru-RU"/>
        </w:rPr>
        <w:t> (надчерепная мышца), а именно ее лобная порция </w:t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m. frontalis.</w:t>
      </w:r>
    </w:p>
    <w:p w14:paraId="2C47E7C1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Для сглаживания лобных морщин пациента просят поднять брови и на максимуме амплитуды отмечают точки с наиболее выраженной мимической активностью. С целью исключения птоза брови, расстояние между точкой инъекции и верхним краем брови должно составлять не менее 2 см. Отмечается от 5 до 10 точек, их количество определяется врачом индивидуально для каждого пациента. Суммарная доза препарата, введенная в лобную мышцу должна составить 10-15 ЕД. Данное количество препарата равномерно распределяется на все отмеченные точки.</w:t>
      </w:r>
    </w:p>
    <w:p w14:paraId="5D92AEC7" w14:textId="77777777" w:rsidR="00597CB8" w:rsidRPr="00597CB8" w:rsidRDefault="00597CB8" w:rsidP="00597CB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lastRenderedPageBreak/>
        <w:t> </w:t>
      </w:r>
      <w:r w:rsidRPr="00597CB8">
        <w:rPr>
          <w:rFonts w:ascii="Arial" w:eastAsia="Times New Roman" w:hAnsi="Arial" w:cs="Arial"/>
          <w:noProof/>
          <w:color w:val="2D2D2D"/>
          <w:lang w:eastAsia="ru-RU"/>
        </w:rPr>
        <w:drawing>
          <wp:inline distT="0" distB="0" distL="0" distR="0" wp14:anchorId="68796835" wp14:editId="149FB33D">
            <wp:extent cx="1676400" cy="2232660"/>
            <wp:effectExtent l="0" t="0" r="0" b="0"/>
            <wp:docPr id="3" name="Рисунок 3" descr="Рис. 3. Точки введения препарата Миотокс® для разглаживания морщин в области л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. Точки введения препарата Миотокс® для разглаживания морщин в области лб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7F610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Рис. 3. Точки введения препарата Миотокс® для разглаживания морщин в области лба</w:t>
      </w:r>
    </w:p>
    <w:p w14:paraId="66B7A19F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При проведении процедуры следует учитывать, что выраженные инволюционные изменения кожи лба ведут к значительному увеличению риска опущения бровей, что требует снижения дозировок или отказа от введения препарата во фронтальную область. Для уменьшения риска птоза бровей инъекции должны осуществляться на расстоянии не менее 2-3 см от края брови.</w:t>
      </w:r>
    </w:p>
    <w:p w14:paraId="2DC03A7D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Сглаживание морщин в периорбитальной области</w:t>
      </w:r>
    </w:p>
    <w:p w14:paraId="42908C33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Морщины, расходящиеся радиально вокруг глаз, так называемые «гусиные лапки», возникают в результате активности круговой мышцы глаза. Для выбора точек введения и дозы препарата пациента просят прищуриться и/или улыбнуться и в это время очерчивают примерные границы области с максимальным количеством складок.</w:t>
      </w:r>
    </w:p>
    <w:p w14:paraId="3E5F629C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Для коррекции «гусиных лапок» инъекции препарата проводят в проекции </w:t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m. orbicularis oculi</w:t>
      </w:r>
      <w:r w:rsidRPr="00597CB8">
        <w:rPr>
          <w:rFonts w:ascii="Arial" w:eastAsia="Times New Roman" w:hAnsi="Arial" w:cs="Arial"/>
          <w:color w:val="2D2D2D"/>
          <w:lang w:eastAsia="ru-RU"/>
        </w:rPr>
        <w:t> (круговая мышца глаза) в 2-4 точки с каждой стороны в область латеральной части нижнего века в местах максимальной мышечной активности. Точки должны располагаться на расстоянии не менее чем 1 см от наружного угла глаза в местах максимальной мышечной активности.</w:t>
      </w:r>
    </w:p>
    <w:p w14:paraId="6C56CB98" w14:textId="77777777" w:rsidR="00597CB8" w:rsidRPr="00597CB8" w:rsidRDefault="00597CB8" w:rsidP="00597CB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noProof/>
          <w:color w:val="2D2D2D"/>
          <w:lang w:eastAsia="ru-RU"/>
        </w:rPr>
        <w:drawing>
          <wp:inline distT="0" distB="0" distL="0" distR="0" wp14:anchorId="4DABF9E9" wp14:editId="599F35D0">
            <wp:extent cx="1676400" cy="2194560"/>
            <wp:effectExtent l="0" t="0" r="0" b="0"/>
            <wp:docPr id="4" name="Рисунок 4" descr="Рис. 4. Точки введения препарата Миотокс® для разглаживания морщин в периорбитальн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4. Точки введения препарата Миотокс® для разглаживания морщин в периорбитальн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D66A6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Рис. 4. Точки введения препарата Миотокс® для разглаживания морщин в периорбитальной области</w:t>
      </w:r>
    </w:p>
    <w:p w14:paraId="5AE7E5D0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lastRenderedPageBreak/>
        <w:t>B каждую точку вводят 1 - 3 ЕД препарата, так чтобы суммарная доза препарата с каждой стороны составила 2,5-7,5 ЕД. Максимальная доза не должна превышать 20 ЕД препарата с каждой стороны за одну процедуру. Чтобы не нарушать пропорций лица необходимо тщательно следить за симметричностью расположения точек введения. Препарат в области «гусиных лапок» не вводится очень низко и глубоко, так как возможно нарушение симметричности углов рта и носогубной складки вследствие диффузии препарата в область </w:t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m. zygomatius major</w:t>
      </w:r>
      <w:r w:rsidRPr="00597CB8">
        <w:rPr>
          <w:rFonts w:ascii="Arial" w:eastAsia="Times New Roman" w:hAnsi="Arial" w:cs="Arial"/>
          <w:color w:val="2D2D2D"/>
          <w:lang w:eastAsia="ru-RU"/>
        </w:rPr>
        <w:t> (большая скуловая мышца).</w:t>
      </w:r>
    </w:p>
    <w:p w14:paraId="0D6851E7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Общие рекомендации для всех показаний к применению</w:t>
      </w:r>
    </w:p>
    <w:p w14:paraId="761ACFA0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При неэффективности первой процедуры, по сравнению с исходным состоянием, при любом выше описанном лечении, через 1 месяц после введения препарата, необходимо:</w:t>
      </w:r>
    </w:p>
    <w:p w14:paraId="7D9C1C9D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1. Клиническое подтверждение действия токсина на инъецированную мышцу (мышцы), которое может включать электромиографическое (ЭМГ) исследование, выполняемое опытным специалистом в специализированном отделении;</w:t>
      </w:r>
    </w:p>
    <w:p w14:paraId="6902BE06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2. Анализ причин неэффективности процедуры, например, неадекватный выбор точек для инъекции, недостаточная доза, неправильная техника инъекции, признаки фиксированной контрактуры, слабость мышц-антагонистов, формирование токсиннейтрализующих антител;</w:t>
      </w:r>
    </w:p>
    <w:p w14:paraId="2940EA49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3. Повторная оценка целесообразности лечения ботулиническим токсином типа А;</w:t>
      </w:r>
    </w:p>
    <w:p w14:paraId="3A68C0E5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4. При отсутствии каких-либо нежелательных эффектов, связанных с первым введением препарата, при повторной процедуре должны быть соблюдены следующие условия: коррекция дозы с учетом анализа причин неэффективности предыдущей процедуры; ЭМГ – контроль; интервал между процедурами должен составлять не менее 3 мес.</w:t>
      </w:r>
    </w:p>
    <w:p w14:paraId="5FBCEAE1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5. При отсутствии эффекта от введения препарата или снижения его выраженности после повторных инъекций, следует рекомендовать другие методы лечения.</w:t>
      </w:r>
    </w:p>
    <w:p w14:paraId="6D8BA3D6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u w:val="single"/>
          <w:lang w:eastAsia="ru-RU"/>
        </w:rPr>
        <w:t>Особые группы пациентов</w:t>
      </w:r>
    </w:p>
    <w:p w14:paraId="21192A60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Пожилые пациенты</w:t>
      </w:r>
    </w:p>
    <w:p w14:paraId="5D7B726D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Адекватных исследований дозировок в гериатрической популяции не проводилось. Рекомендовано использование наименьшей дозы, необходимой для достижения эффекта, соблюдая наибольший клинически допустимый интервал между введениями. При лечении пожилых пациентов с отягощенным анамнезом и сопутствующей терапией необходимо соблюдать осторожность.</w:t>
      </w:r>
    </w:p>
    <w:p w14:paraId="63E1995C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Побочное действие</w:t>
      </w:r>
    </w:p>
    <w:p w14:paraId="60C54F7D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Указанные побочные эффекты и нежелательные реакции выявлены в ходе клинических исследований, а также в ходе опыта применения препаратов, содержащих ботулинический токсин типа А в качестве действующего вещества.</w:t>
      </w:r>
    </w:p>
    <w:p w14:paraId="0C874BED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Как правило, нежелательные реакции проявляются в течение первых дней после инъекции и являются преходящими. В редких случаях длительность нежелательных реакций может составлять несколько месяцев и более.</w:t>
      </w:r>
    </w:p>
    <w:p w14:paraId="3D786A96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lastRenderedPageBreak/>
        <w:t>Локальная мышечная слабость отражает ожидаемое фармакологическое действие ботулинического токсина на мышцу. Однако большие дозы могут вызвать слабость мышц помимо непосредственно тех, что локализованы в месте инъекций.</w:t>
      </w:r>
    </w:p>
    <w:p w14:paraId="4F9DCBC4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Как и при любой инъекционной процедуре, в месте введения могут отмечаться локальная болезненность, воспаление, парестезии, гипестезии, уплотнение кожи, отечность, эритема, локализованная инфекция, кровотечение и / или гематомы. Связанная с процедурой боль и / или тревога могут приводить к вазовагальным реакциям, включая транзиторную гипотензию и обмороки.</w:t>
      </w:r>
    </w:p>
    <w:p w14:paraId="739EFEC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Описано повышение температуры и возникновение гриппоподобного синдрома.</w:t>
      </w:r>
    </w:p>
    <w:p w14:paraId="35A1440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Указанные ниже побочные эффекты приведены в соответствии с частотой их возникновения и представлены для каждого показания: очень часто (≥1/10), часто (&lt;1/10, ≥ 1/100), нечасто (&lt;1/100, ≥ 1/1000), редко (&lt;1/1000, ≥ 1/10 000), очень редко (&lt;1/10 000).</w:t>
      </w:r>
    </w:p>
    <w:p w14:paraId="06BBA6AD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u w:val="single"/>
          <w:lang w:eastAsia="ru-RU"/>
        </w:rPr>
        <w:t>Блефароспазм</w:t>
      </w:r>
    </w:p>
    <w:p w14:paraId="67F5DE10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нервной системы:</w:t>
      </w: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Нечасто: </w:t>
      </w:r>
      <w:r w:rsidRPr="00597CB8">
        <w:rPr>
          <w:rFonts w:ascii="Arial" w:eastAsia="Times New Roman" w:hAnsi="Arial" w:cs="Arial"/>
          <w:color w:val="2D2D2D"/>
          <w:lang w:eastAsia="ru-RU"/>
        </w:rPr>
        <w:t>головокружения, парез мимической мускулатуры, паралич мимической мускулатуры.</w:t>
      </w:r>
    </w:p>
    <w:p w14:paraId="5E54F3E3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органа зрения:</w:t>
      </w: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Очень 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блефароптоз.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точечный кератит, лагофтальм, сухость в глазах, фотофобия и повышенное слезоотделение, раздражение глаз.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Нечасто: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кератит, эктропион (выворот века), диплопия, энтропион (заворот века), ухудшение и снижение остроты зрения.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Редко:</w:t>
      </w:r>
      <w:r w:rsidRPr="00597CB8">
        <w:rPr>
          <w:rFonts w:ascii="Arial" w:eastAsia="Times New Roman" w:hAnsi="Arial" w:cs="Arial"/>
          <w:color w:val="2D2D2D"/>
          <w:lang w:eastAsia="ru-RU"/>
        </w:rPr>
        <w:t> отек века.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Очень редко: </w:t>
      </w:r>
      <w:r w:rsidRPr="00597CB8">
        <w:rPr>
          <w:rFonts w:ascii="Arial" w:eastAsia="Times New Roman" w:hAnsi="Arial" w:cs="Arial"/>
          <w:color w:val="2D2D2D"/>
          <w:lang w:eastAsia="ru-RU"/>
        </w:rPr>
        <w:t>язвенный кератит, дефект эпителия роговицы, перфорация роговицы.</w:t>
      </w:r>
    </w:p>
    <w:p w14:paraId="7C1D30C4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кожи и подкожных тканей: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экхимозы.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Нечасто: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сыпь / дерматит.</w:t>
      </w:r>
    </w:p>
    <w:p w14:paraId="06E4BF3A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Общие расстройства и нарушения в месте введения: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раздражение и отек кожи лица.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Нечасто: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утомляемость.</w:t>
      </w:r>
    </w:p>
    <w:p w14:paraId="1088B677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u w:val="single"/>
          <w:lang w:eastAsia="ru-RU"/>
        </w:rPr>
        <w:t>Цервикальная дистония (спастическая кривошея)</w:t>
      </w:r>
    </w:p>
    <w:p w14:paraId="67CCB504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Инфекционные и паразитарные заболевания: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ринит и инфекции верхних дыхательных путей.</w:t>
      </w:r>
    </w:p>
    <w:p w14:paraId="334946BA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нервной системы: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головокружение, гипертонус, гипестезия, сомноленция, головная боль.</w:t>
      </w:r>
    </w:p>
    <w:p w14:paraId="1D2B131B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органа зрения: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диплопия и птоз.</w:t>
      </w:r>
    </w:p>
    <w:p w14:paraId="1888BBDE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дыхательной системы, органов грудной клетки и средостения: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Нечасто: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одышка и дисфония.</w:t>
      </w:r>
    </w:p>
    <w:p w14:paraId="509BEAF2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lastRenderedPageBreak/>
        <w:t>Нарушения со стороны желудочно-кишечного тракта: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Очень 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дисфагия.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 </w:t>
      </w:r>
      <w:r w:rsidRPr="00597CB8">
        <w:rPr>
          <w:rFonts w:ascii="Arial" w:eastAsia="Times New Roman" w:hAnsi="Arial" w:cs="Arial"/>
          <w:color w:val="2D2D2D"/>
          <w:lang w:eastAsia="ru-RU"/>
        </w:rPr>
        <w:t>сухость во рту, тошнота.</w:t>
      </w:r>
    </w:p>
    <w:p w14:paraId="089121B4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скелетно-мышечной и соединительной ткани: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Очень 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мышечная слабость.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скованность и болезненность движений.</w:t>
      </w:r>
    </w:p>
    <w:p w14:paraId="42C6BD6C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Общие расстройства и нарушения в месте введения: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Очень 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боль.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астения, гриппоподобный синдром, общее недомогание.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Нечасто: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лихорадка.</w:t>
      </w:r>
    </w:p>
    <w:p w14:paraId="5D5DB991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u w:val="single"/>
          <w:lang w:eastAsia="ru-RU"/>
        </w:rPr>
        <w:t>Межбровные морщины</w:t>
      </w:r>
    </w:p>
    <w:p w14:paraId="6FA4C7A4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Инфекционные и паразитарные заболевания: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Нечасто: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инфекции.</w:t>
      </w:r>
    </w:p>
    <w:p w14:paraId="1F8BC1DC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психики: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Нечасто: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тревожность.</w:t>
      </w:r>
    </w:p>
    <w:p w14:paraId="4F98E252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нервной системы: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головная боль, парестезии.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Нечасто: </w:t>
      </w:r>
      <w:r w:rsidRPr="00597CB8">
        <w:rPr>
          <w:rFonts w:ascii="Arial" w:eastAsia="Times New Roman" w:hAnsi="Arial" w:cs="Arial"/>
          <w:color w:val="2D2D2D"/>
          <w:lang w:eastAsia="ru-RU"/>
        </w:rPr>
        <w:t>головокружение.</w:t>
      </w:r>
    </w:p>
    <w:p w14:paraId="372F55FB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органа зрения: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птоз века.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Нечасто: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блефариты, боль в глазах, нарушения зрения (включая снижение его остроты).</w:t>
      </w:r>
    </w:p>
    <w:p w14:paraId="2E025121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желудочно-кишечного тракта: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тошнота.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Нечасто: </w:t>
      </w:r>
      <w:r w:rsidRPr="00597CB8">
        <w:rPr>
          <w:rFonts w:ascii="Arial" w:eastAsia="Times New Roman" w:hAnsi="Arial" w:cs="Arial"/>
          <w:color w:val="2D2D2D"/>
          <w:lang w:eastAsia="ru-RU"/>
        </w:rPr>
        <w:t>сухость во рту.</w:t>
      </w:r>
    </w:p>
    <w:p w14:paraId="29EF3BC0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кожи и подкожных тканей: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экхимозы, эритема, ощущение стянутости кожи.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Нечасто: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отечность (лица, век, периорбитальной области), фотосенситизация, зуд, сухость кожи.</w:t>
      </w:r>
    </w:p>
    <w:p w14:paraId="59D409A4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скелетно-мышечной и соединительной ткани: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локальная мышечная слабость.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Нечасто: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мышечные подергивания.</w:t>
      </w:r>
    </w:p>
    <w:p w14:paraId="3682D110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Общие расстройства и нарушения в месте введения: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боль в области лица, отек места инъекции, боль / жжение в месте инъекции.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Нечасто: </w:t>
      </w:r>
      <w:r w:rsidRPr="00597CB8">
        <w:rPr>
          <w:rFonts w:ascii="Arial" w:eastAsia="Times New Roman" w:hAnsi="Arial" w:cs="Arial"/>
          <w:color w:val="2D2D2D"/>
          <w:lang w:eastAsia="ru-RU"/>
        </w:rPr>
        <w:t>гриппоподобный синдром, астения, лихорадка.</w:t>
      </w:r>
    </w:p>
    <w:p w14:paraId="539B2FA6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u w:val="single"/>
          <w:lang w:eastAsia="ru-RU"/>
        </w:rPr>
        <w:t>Лобные морщины</w:t>
      </w:r>
    </w:p>
    <w:p w14:paraId="037FCF2C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Инфекционные и паразитарные заболевания: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ОРВИ.</w:t>
      </w:r>
    </w:p>
    <w:p w14:paraId="593B729F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Нарушения психики:</w:t>
      </w: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чувство напряженности.</w:t>
      </w:r>
    </w:p>
    <w:p w14:paraId="58A91AF9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lastRenderedPageBreak/>
        <w:t>Нарушения со стороны нервной системы: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Очень 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птоз брови, головная боль.</w:t>
      </w:r>
    </w:p>
    <w:p w14:paraId="6A7C9ACC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органа зрения: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Очень 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отек век.</w:t>
      </w:r>
    </w:p>
    <w:p w14:paraId="494B63DE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желудочно-кишечного тракта: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тошнота.</w:t>
      </w:r>
    </w:p>
    <w:p w14:paraId="6C431ABB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кожи и подкожных тканей: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зуд лба.</w:t>
      </w:r>
    </w:p>
    <w:p w14:paraId="65656507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Общие расстройства и нарушения в месте введения: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боль в области лба, гриппоподобный синдром.</w:t>
      </w:r>
    </w:p>
    <w:p w14:paraId="7DE1A95C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Травмы, интоксикации и осложнения манипуляций: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Очень 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синяки / кровоизлияния.</w:t>
      </w:r>
    </w:p>
    <w:p w14:paraId="552B3D3C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u w:val="single"/>
          <w:lang w:eastAsia="ru-RU"/>
        </w:rPr>
        <w:t>Периорбитальные морщины</w:t>
      </w:r>
    </w:p>
    <w:p w14:paraId="76D908BA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Инфекционные и паразитарные заболевания: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гриппоподобный синдром.</w:t>
      </w:r>
    </w:p>
    <w:p w14:paraId="7F30B0EA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нервной системы: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головная боль.</w:t>
      </w:r>
    </w:p>
    <w:p w14:paraId="0A001033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Нарушения со стороны органа зрения: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 </w:t>
      </w:r>
      <w:r w:rsidRPr="00597CB8">
        <w:rPr>
          <w:rFonts w:ascii="Arial" w:eastAsia="Times New Roman" w:hAnsi="Arial" w:cs="Arial"/>
          <w:color w:val="2D2D2D"/>
          <w:lang w:eastAsia="ru-RU"/>
        </w:rPr>
        <w:t>опущение латеральной части верхнего века, отек века.</w:t>
      </w:r>
    </w:p>
    <w:p w14:paraId="3F7A2C80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t>Общие расстройства и нарушения в месте введения:</w:t>
      </w:r>
      <w:r w:rsidRPr="00597CB8">
        <w:rPr>
          <w:rFonts w:ascii="Arial" w:eastAsia="Times New Roman" w:hAnsi="Arial" w:cs="Arial"/>
          <w:b/>
          <w:bCs/>
          <w:i/>
          <w:iCs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геморрагии в месте инъекции.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</w:r>
      <w:r w:rsidRPr="00597CB8">
        <w:rPr>
          <w:rFonts w:ascii="Arial" w:eastAsia="Times New Roman" w:hAnsi="Arial" w:cs="Arial"/>
          <w:i/>
          <w:iCs/>
          <w:color w:val="2D2D2D"/>
          <w:lang w:eastAsia="ru-RU"/>
        </w:rPr>
        <w:t>Нечасто:</w:t>
      </w:r>
      <w:r w:rsidRPr="00597CB8">
        <w:rPr>
          <w:rFonts w:ascii="Arial" w:eastAsia="Times New Roman" w:hAnsi="Arial" w:cs="Arial"/>
          <w:color w:val="2D2D2D"/>
          <w:lang w:eastAsia="ru-RU"/>
        </w:rPr>
        <w:t> боль в месте инъекции, парестезии.</w:t>
      </w:r>
    </w:p>
    <w:p w14:paraId="4D09F846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Примечание: </w:t>
      </w:r>
      <w:r w:rsidRPr="00597CB8">
        <w:rPr>
          <w:rFonts w:ascii="Arial" w:eastAsia="Times New Roman" w:hAnsi="Arial" w:cs="Arial"/>
          <w:color w:val="2D2D2D"/>
          <w:lang w:eastAsia="ru-RU"/>
        </w:rPr>
        <w:t>геморрагии и боль в месте инъекции связаны с процедурой инъекции.</w:t>
      </w:r>
    </w:p>
    <w:p w14:paraId="1286841A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Передозировка</w:t>
      </w:r>
    </w:p>
    <w:p w14:paraId="4D8697C9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Симптомы передозировки ботулиническим токсином проявляются через некоторое время после инъекции.</w:t>
      </w:r>
    </w:p>
    <w:p w14:paraId="3F79D8A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Чрезмерные дозы могут вызвать локальный или дистанционный, генерализованный и нейромышечный паралич.</w:t>
      </w:r>
    </w:p>
    <w:p w14:paraId="40796851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В случае передозировки при инъекции или случайном приеме внутрь пациент должен находиться под медицинским контролем в течение нескольких недель с целью наблюдения возможных симптомов увеличения мышечной слабости, локальной или удаленной от места инъекции, и которые могут включать: птоз, диплопию, дисфагию, расстройство речи, общую слабость или дыхательную недостаточность. Необходимо предусмотреть возможность оказания немедленной медицинской помощи, в том числе, в условиях стационара.</w:t>
      </w:r>
    </w:p>
    <w:p w14:paraId="0CA3C99D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В случае поражения мышц глотки и пищевода может произойти аспирация с последующим развитием аспирационной пневмонии.</w:t>
      </w:r>
    </w:p>
    <w:p w14:paraId="027A4BE1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lastRenderedPageBreak/>
        <w:t>При параличе дыхательных мышц необходимо проведение интубации и перевод на искусственную вентиляцию легких до улучшения состояния пациента. В дополнении к другим мерам общего поддерживающего лечения, может потребоваться проведение трахеостомии и продолжительная искусственная вентиляция.</w:t>
      </w:r>
    </w:p>
    <w:p w14:paraId="28BDA0ED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При передозировке введение противоботулинической сыворотки (антитоксина) целесообразно в течение первых 3 часов. Однако введение сыворотки не способно купировать уже развившиеся к моменту ее введения клинические эффекты ботулинического токсина.</w:t>
      </w:r>
    </w:p>
    <w:p w14:paraId="0DD361B2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Взаимодействие с другими лекарственными средствами</w:t>
      </w:r>
    </w:p>
    <w:p w14:paraId="0157999F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Эффект ботулинического токсина типа А может усиливаться при одновременном применении с антибиотиками группы аминогликозидов, эритромицина, тетрациклина, полимиксинов или спектиномицином, а также с другими лекарственными средствами, влияющими на нейромышечную передачу (например, миорелаксантами).</w:t>
      </w:r>
    </w:p>
    <w:p w14:paraId="18AD25D5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Эффект препарата может быть снижен действием производным 4-аминохинолина. Эффект введения различных серотипов ботулинического нейротоксина одновременно или с интервалом в несколько месяцев неизвестен. Возможно усугубление нейромышечной слабости при введении другого ботулинического токсина до исчезновения эффектов ранее введенного ботулинического токсина.</w:t>
      </w:r>
    </w:p>
    <w:p w14:paraId="4591114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Исследования по лекарственному взаимодействию не проводились. Клинически значимых случаев лекарственного взаимодействия не описано.</w:t>
      </w:r>
    </w:p>
    <w:p w14:paraId="6950BF46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Особые указания</w:t>
      </w:r>
    </w:p>
    <w:p w14:paraId="59C6C6EE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Инъекции препарата Миотокс® должен проводить врач высокой квалификации, прошедший курс специальной подготовки в лечении подобных состояний ботулиническим токсином типа А.</w:t>
      </w:r>
    </w:p>
    <w:p w14:paraId="39CA84E2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Препарат применяется в специализированных медицинских учреждениях, а также амбулаторно в условиях процедурного кабинета при наличии средств противошоковой терапии. Препарат хранится в отдельной закрытой маркированной коробке в холодильнике.</w:t>
      </w:r>
    </w:p>
    <w:p w14:paraId="2958A593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Оставшийся после проведения инъекций неиспользованный раствор препарата, а также вспомогательные инструменты и материалы, находившиеся в контакте с препаратом (шприцы, иглы и т.д.), должны быть утилизированы в соответствии с действующими правилами уничтожения биологических отходов.</w:t>
      </w:r>
    </w:p>
    <w:p w14:paraId="48D4B937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Рекомендуемые дозы и частота введения препарата не должны быть превышены в связи с потенциальным риском передозировки, чрезмерной мышечной слабости, дистантного распространения токсина и формирования нейтрализующих антител. При первичном курсе лечение необходимо начинать с самой минимальной рекомендуемой дозы для конкретного показания к применению.</w:t>
      </w:r>
    </w:p>
    <w:p w14:paraId="23D25164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Врачи и пациенты должны быть осведомлены, что побочные реакции могут возникнуть, несмотря на хорошую переносимость предыдущих инъекций. Необходимо соблюдать осторожность и внимательность при каждой процедуре.</w:t>
      </w:r>
    </w:p>
    <w:p w14:paraId="56893E12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Пациенты, получающие препарат в терапевтических дозах, могут также испытывать выраженную мышечную слабость.</w:t>
      </w:r>
    </w:p>
    <w:p w14:paraId="6A1F2316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lastRenderedPageBreak/>
        <w:t>Следует применять с крайней осторожностью и под постоянным контролем у пациентов с субклиническими или клиническими признаками нарушения нервно-мышечной передачи, например, при миастении гравис или миастеноподобных синдромах, у больных с периферическими моторными нейропатическими заболеваниями (например, боковым амиотрофическим склерозом или моторной нейропатией), а также у пациентов с сопутствующей неврологической патологией. Эти пациенты могут иметь повышенную чувствительность к данной группе препаратов даже в терапевтических дозах, что может приводить к развитию выраженной мышечной слабости и высокому риску возникновения клинически значимых системных эффектов, включая тяжелую дисфагию и нарушения дыхания. В таких случаях ботулинический токсин должен быть использован под контролем специалиста и только тогда, когда польза от лечения превышает риск. Больные с дисфагией и аспирацией в анамнезе должны лечиться с особой осторожностью.</w:t>
      </w:r>
    </w:p>
    <w:p w14:paraId="4791E812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При проведении инъекций в область лица у пациентов с высокой степенью миопии, закрытоугольной глаукомой, введение препарата определяется по результатам заключения офтальмолога. Редкое моргание, связанное с введением ботулинического токсина в круговую мышцу глаза, может приводить к возникновению патологических изменений роговицы, персистирующим дефектам эпителия, особенно у пациентов с патологией VII пары черепно-мозговых нервов, и требует дальнейшего наблюдения у специалиста. Следует тщательно изучить чувствительность роговицы глаз, которые были ранее оперированы, избегать введения препарата в область нижнего века для профилактики развития выворота века, а также активно лечить любые дефекты эпителиального покрова. Для этого могут применяться капли с защитными свойствами, мази, терапевтические мягкие контактные линзы, закрытие глаза повязкой или другим способом.</w:t>
      </w:r>
    </w:p>
    <w:p w14:paraId="4380D5A7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В мягких тканях век легко возникают экхимозы. Для снижения частоты их появления необходимо легко надавить на место инъекции сразу после введения препарата.</w:t>
      </w:r>
    </w:p>
    <w:p w14:paraId="40913CB6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При отягощенном аллергологическом анамнезе, особенно при наличии у пациента повышенной чувствительности к препаратам, содержащим белки, следует учитывать риск возникновения аллергической реакции при оценке возможной пользы лечения.</w:t>
      </w:r>
    </w:p>
    <w:p w14:paraId="1ED2F22D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Препарат необходимо с осторожностью применять в следующих случаях:</w:t>
      </w:r>
    </w:p>
    <w:p w14:paraId="1DA17CF2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– При выраженной асимметрии лица,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При птозе, дерматохалазисе.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Глубоких рубцах,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– У пациентов с плотной кожей или при отсутствии значительного сглаживания вертикальных мимических межбровных морщин при механическом растяжении кожи.</w:t>
      </w:r>
    </w:p>
    <w:p w14:paraId="57430629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Пациентам и лицам, осуществляющим уход, следует рекомендовать немедленно обратиться за медицинской помощью в случае возникновения нарушений глотания, речи и дыхания.</w:t>
      </w:r>
    </w:p>
    <w:p w14:paraId="41504037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Следует с осторожностью вводить препарат в непосредственной близости от легких, особенно их верхушек.</w:t>
      </w:r>
    </w:p>
    <w:p w14:paraId="3EBC585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Как и при любом методе лечения, дающем ранее обездвиженным пациентам возможность вернуться к физической активности, пациента следует предупредить о важности восстанавливать активность постепенно.</w:t>
      </w:r>
    </w:p>
    <w:p w14:paraId="5A96040E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lastRenderedPageBreak/>
        <w:t>Перед инъекцией препарата Миотокс® необходимо уточнить анатомию соответствующих областей и любые изменения анатомии в результате предшествовавших операций; следует избегать инъекций в легко повреждаемые анатомические структуры.</w:t>
      </w:r>
    </w:p>
    <w:p w14:paraId="48266FFE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Формирование нейтрализующих антител к ботулиническому токсину может снижать эффективность препарата за счет инактивации биологической активности токсина. По данным клинических исследований, введение препарата с большей частотой и в больших дозах может приводить к росту случаев формирования антител. Потенциальное формирование антител может быть минимизировано путем введения наименьших эффективных доз с максимальными клинически допустимыми интервалами между инъекциями.</w:t>
      </w:r>
    </w:p>
    <w:p w14:paraId="05A33420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Клинические флюктуации при повторном применении препарата Миотокс® (как и для всех ботулинических токсинов) могут быть результатом различий в технике разведения препарата, интервалах между инъекциями и инъецируемых мышцах, а также небольших колебаний значений активности препарата, определяемой биологическим методом.</w:t>
      </w:r>
    </w:p>
    <w:p w14:paraId="611362B9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u w:val="single"/>
          <w:lang w:eastAsia="ru-RU"/>
        </w:rPr>
        <w:t>Пациентам с цервикальной дистонией</w:t>
      </w:r>
    </w:p>
    <w:p w14:paraId="3FBF4EC4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Пациенты со спастической кривошеей должны быть проинформированы о возможности развития дисфагии различной степени выраженности: от легкой до тяжелой. Дисфагия может сохраняться от 2 до 3 недель после введения препарата, было сообщено о случае сохранения дисфагии до 5 месяцев. Дисфагия может явиться потенциальной причиной аспирации, диспноэ, требующих интубации. В редких случаях возможно развитие аспирационной пневмонии с летальным исходом.</w:t>
      </w:r>
    </w:p>
    <w:p w14:paraId="293D7CD6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Показано, что группу повышенного риска развития дисфагии составляют больные со сниженной массой мышц шеи, а также у пациентов, которым препарат вводится в грудинно-ключично-сосцевидные мышцы с обеих сторон. Развитие дисфагии связывают с проникновением токсина в мышечный слой стенки пищевода. Введение препарата в мышцу, поднимающую лопатку, может быть связано с повышением риска развития инфекционных заболеваний верхних дыхательных путец и дисфагии.</w:t>
      </w:r>
    </w:p>
    <w:p w14:paraId="36EAEA1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Дисфагия может вносить вклад в ограничение поступления в организм пищи и воды, что приводит к потере массе тела и дегидратации. Группу повышенного риска развития дисфагии после введения препарата составляют пациенты с субклинической дисфагией.</w:t>
      </w:r>
    </w:p>
    <w:p w14:paraId="6D237814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Примечание: При назначении препарата Миотокс® следует учитывать, что единицы действия препарата являются специфическими и не могут сравниваться с таковыми других препаратов, содержащих ботулинический токсин.</w:t>
      </w:r>
    </w:p>
    <w:p w14:paraId="04C27D8C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u w:val="single"/>
          <w:lang w:eastAsia="ru-RU"/>
        </w:rPr>
        <w:t>Утилизация препарата:</w:t>
      </w:r>
    </w:p>
    <w:p w14:paraId="34571517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Сразу же после проведения инъекции оставшийся раствор препарата во флаконе и в шприце необходимо инактивировать разбавленным раствором гипохлорита натрия, содержащим 1% активного хлора (в течение не менее 18 ч), или при помощи автоклавирования при температуре (120 ± 2) °С, давление пара 0,11 МПа (или 1,1 атм.), время выдержки (45 ± 2) мин. Пролитый раствор препарата вытирают абсорбирующей салфеткой, смоченной в разбавленном растворе гипохлорита натрия.</w:t>
      </w:r>
    </w:p>
    <w:p w14:paraId="0BD0D3CC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Дезинфекцию необходимо проводить согласно установленным требованиям. Все вспомогательные материалы, находившиеся в контакте с раствором препарата, должны быть утилизированы способами, предусмотренными для уничтожения биологических отходов, или в соответствии со стандартной больничной практикой.</w:t>
      </w:r>
    </w:p>
    <w:p w14:paraId="6559F4AD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lastRenderedPageBreak/>
        <w:t>В случае контакта препарата с кожей нужно смыть раствор большим количеством воды. В случае попадания препарата в глаза нужно тщательно промыть глаза водой или раствором для промывания глаз. Раны, порезы и царапины в случае попадания в них препарата нужно тщательно промыть водой.</w:t>
      </w:r>
    </w:p>
    <w:p w14:paraId="470C7A32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Влияние на способность управлять транспортными средствами, механизмами</w:t>
      </w:r>
    </w:p>
    <w:p w14:paraId="44B8B8D7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Препарат Миотокс® способен приводить к астении, мышечной слабости, головокружению и расстройствам зрения. В случае развития таких симптомов может создаваться опасность при управлении автомобилем или работе с движущими механизмами.</w:t>
      </w:r>
    </w:p>
    <w:p w14:paraId="4689AB03" w14:textId="07694979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Форма выпуска</w:t>
      </w:r>
      <w:r w:rsidR="005A5D9C">
        <w:rPr>
          <w:rFonts w:ascii="Arial" w:eastAsia="Times New Roman" w:hAnsi="Arial" w:cs="Arial"/>
          <w:color w:val="2D2D2D"/>
          <w:lang w:eastAsia="ru-RU"/>
        </w:rPr>
        <w:t xml:space="preserve">  </w:t>
      </w:r>
      <w:r w:rsidRPr="00597CB8">
        <w:rPr>
          <w:rFonts w:ascii="Arial" w:eastAsia="Times New Roman" w:hAnsi="Arial" w:cs="Arial"/>
          <w:color w:val="2D2D2D"/>
          <w:lang w:eastAsia="ru-RU"/>
        </w:rPr>
        <w:t>Раствор для внутримышечного введения 100 ЕД.</w:t>
      </w:r>
    </w:p>
    <w:p w14:paraId="2A725DD8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u w:val="single"/>
          <w:lang w:eastAsia="ru-RU"/>
        </w:rPr>
        <w:t>Первичная упаковка</w:t>
      </w:r>
    </w:p>
    <w:p w14:paraId="0086F373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По 1 мл во флаконах из стекла 1-го гидролитического класса, укупоренных резиновыми пробками, и завальцованных комбинированными колпачками. На флакон наносят этикетку.</w:t>
      </w:r>
    </w:p>
    <w:p w14:paraId="54363D4C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u w:val="single"/>
          <w:lang w:eastAsia="ru-RU"/>
        </w:rPr>
        <w:t>Вторичная упаковка</w:t>
      </w:r>
    </w:p>
    <w:p w14:paraId="3FDA6121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1 флакон помещен в контурную ячейковую упаковку, которую вкладывают в картонную пачку вместе с инструкцией по медицинскому применению.</w:t>
      </w:r>
    </w:p>
    <w:p w14:paraId="37CD1019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Условия хранения</w:t>
      </w:r>
    </w:p>
    <w:p w14:paraId="50EF5224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При температуре от 2 до 8 ºС. Замораживание не допускается.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Хранить в недоступном для детей месте!</w:t>
      </w:r>
    </w:p>
    <w:p w14:paraId="082F1EBA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Условия транспортирования</w:t>
      </w:r>
    </w:p>
    <w:p w14:paraId="12BA6B6A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При температуре от 2 до 8 ºС. Замораживание не допускается.</w:t>
      </w:r>
    </w:p>
    <w:p w14:paraId="5B802B32" w14:textId="6A3BA970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Срок годности</w:t>
      </w:r>
      <w:r w:rsidR="005A5D9C">
        <w:rPr>
          <w:rFonts w:ascii="Arial" w:eastAsia="Times New Roman" w:hAnsi="Arial" w:cs="Arial"/>
          <w:color w:val="2D2D2D"/>
          <w:lang w:eastAsia="ru-RU"/>
        </w:rPr>
        <w:t xml:space="preserve">   </w:t>
      </w:r>
      <w:r w:rsidRPr="00597CB8">
        <w:rPr>
          <w:rFonts w:ascii="Arial" w:eastAsia="Times New Roman" w:hAnsi="Arial" w:cs="Arial"/>
          <w:color w:val="2D2D2D"/>
          <w:lang w:eastAsia="ru-RU"/>
        </w:rPr>
        <w:t>2 года.</w:t>
      </w:r>
      <w:r w:rsidRPr="00597CB8">
        <w:rPr>
          <w:rFonts w:ascii="Arial" w:eastAsia="Times New Roman" w:hAnsi="Arial" w:cs="Arial"/>
          <w:color w:val="2D2D2D"/>
          <w:lang w:eastAsia="ru-RU"/>
        </w:rPr>
        <w:br/>
        <w:t>Не применять по истечении срока годности, указанного на упаковке.</w:t>
      </w:r>
    </w:p>
    <w:p w14:paraId="026BD857" w14:textId="129CC4C5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Условия отпуска</w:t>
      </w:r>
      <w:r w:rsidR="005A5D9C">
        <w:rPr>
          <w:rFonts w:ascii="Arial" w:eastAsia="Times New Roman" w:hAnsi="Arial" w:cs="Arial"/>
          <w:color w:val="2D2D2D"/>
          <w:lang w:eastAsia="ru-RU"/>
        </w:rPr>
        <w:t xml:space="preserve">  </w:t>
      </w:r>
      <w:r w:rsidRPr="00597CB8">
        <w:rPr>
          <w:rFonts w:ascii="Arial" w:eastAsia="Times New Roman" w:hAnsi="Arial" w:cs="Arial"/>
          <w:color w:val="2D2D2D"/>
          <w:lang w:eastAsia="ru-RU"/>
        </w:rPr>
        <w:t>Отпускают по рецепту.</w:t>
      </w:r>
    </w:p>
    <w:p w14:paraId="7E574423" w14:textId="77777777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Юридическое лицо, на имя которого выдано регистрационное удостоверение, и организация, принимающая претензии на территории РФ:</w:t>
      </w:r>
    </w:p>
    <w:p w14:paraId="0371F664" w14:textId="484BCD81" w:rsidR="00597CB8" w:rsidRPr="00597CB8" w:rsidRDefault="00597CB8" w:rsidP="00597CB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color w:val="2D2D2D"/>
          <w:lang w:eastAsia="ru-RU"/>
        </w:rPr>
        <w:t>ООО «Иннофарм», 115093, Российская Федерация, г. Москва, пер. Павловский 3-й, дом 14, комн.1.</w:t>
      </w:r>
      <w:r w:rsidR="005A5D9C">
        <w:rPr>
          <w:rFonts w:ascii="Arial" w:eastAsia="Times New Roman" w:hAnsi="Arial" w:cs="Arial"/>
          <w:color w:val="2D2D2D"/>
          <w:lang w:eastAsia="ru-RU"/>
        </w:rPr>
        <w:t xml:space="preserve"> </w:t>
      </w:r>
      <w:r w:rsidRPr="00597CB8">
        <w:rPr>
          <w:rFonts w:ascii="Arial" w:eastAsia="Times New Roman" w:hAnsi="Arial" w:cs="Arial"/>
          <w:color w:val="2D2D2D"/>
          <w:lang w:eastAsia="ru-RU"/>
        </w:rPr>
        <w:t>Тел: 8(499)964-16-00.</w:t>
      </w:r>
    </w:p>
    <w:p w14:paraId="46061E23" w14:textId="77777777" w:rsidR="00597CB8" w:rsidRPr="00597CB8" w:rsidRDefault="00597CB8" w:rsidP="00597CB8">
      <w:pPr>
        <w:shd w:val="clear" w:color="auto" w:fill="FFFFFF"/>
        <w:spacing w:line="240" w:lineRule="auto"/>
        <w:rPr>
          <w:rFonts w:ascii="Arial" w:eastAsia="Times New Roman" w:hAnsi="Arial" w:cs="Arial"/>
          <w:color w:val="2D2D2D"/>
          <w:lang w:eastAsia="ru-RU"/>
        </w:rPr>
      </w:pPr>
      <w:r w:rsidRPr="00597CB8">
        <w:rPr>
          <w:rFonts w:ascii="Arial" w:eastAsia="Times New Roman" w:hAnsi="Arial" w:cs="Arial"/>
          <w:b/>
          <w:bCs/>
          <w:color w:val="2D2D2D"/>
          <w:lang w:eastAsia="ru-RU"/>
        </w:rPr>
        <w:t>Производитель:</w:t>
      </w:r>
      <w:r w:rsidRPr="00597CB8">
        <w:rPr>
          <w:rFonts w:ascii="Arial" w:eastAsia="Times New Roman" w:hAnsi="Arial" w:cs="Arial"/>
          <w:color w:val="2D2D2D"/>
          <w:lang w:eastAsia="ru-RU"/>
        </w:rPr>
        <w:t> ФГБНУ «ФНЦИРИП им. М.П. Чумакова РАН», Россия, г. Москва, поселение Московский, посёлок Института полиомиелита.</w:t>
      </w:r>
    </w:p>
    <w:p w14:paraId="505F90C6" w14:textId="77777777" w:rsidR="00590190" w:rsidRPr="005A5D9C" w:rsidRDefault="00590190"/>
    <w:sectPr w:rsidR="00590190" w:rsidRPr="005A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B8"/>
    <w:rsid w:val="00590190"/>
    <w:rsid w:val="00597CB8"/>
    <w:rsid w:val="005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D551"/>
  <w15:chartTrackingRefBased/>
  <w15:docId w15:val="{0A3A040C-99A2-4F0F-8349-C7E939F6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08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6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81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0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7114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4926</Words>
  <Characters>28082</Characters>
  <Application>Microsoft Office Word</Application>
  <DocSecurity>0</DocSecurity>
  <Lines>234</Lines>
  <Paragraphs>65</Paragraphs>
  <ScaleCrop>false</ScaleCrop>
  <Company/>
  <LinksUpToDate>false</LinksUpToDate>
  <CharactersWithSpaces>32943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Юлия Владимировна</dc:creator>
  <cp:keywords/>
  <dc:description/>
  <cp:lastModifiedBy>Анисимова Юлия Владимировна</cp:lastModifiedBy>
  <cp:revision>2</cp:revision>
  <dcterms:created xsi:type="dcterms:W3CDTF">2020-09-07T13:30:00Z</dcterms:created>
  <dcterms:modified xsi:type="dcterms:W3CDTF">2020-09-07T13:33:00Z</dcterms:modified>
</cp:coreProperties>
</file>